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0" w:lineRule="auto"/>
        <w:ind w:left="142" w:right="-142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6e3bc" w:val="clear"/>
        <w:spacing w:after="120" w:before="0" w:lineRule="auto"/>
        <w:ind w:left="207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TERMO DE REFERÊNCIA PARA ELABORAÇÃO DO PLANO DE CONTROLE AMBIENTAL- PCA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DIRETRIZES GERAIS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Controle Ambiental – PCA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constitui-se de um estudo ambiental que deverá ser apresentado pelo requerente da Licença Ambiental com a finalidade de identificar os impactos ambientais gerados pelo seu empreendimento, suas magnitudes e medidas mitigadoras, além da apresentação do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hd w:fill="ffffff" w:val="clear"/>
        <w:spacing w:after="96" w:before="0" w:line="360" w:lineRule="auto"/>
        <w:ind w:firstLine="0"/>
        <w:jc w:val="both"/>
        <w:rPr>
          <w:rFonts w:ascii="Helvetica Neue" w:cs="Helvetica Neue" w:eastAsia="Helvetica Neue" w:hAnsi="Helvetica Neue"/>
          <w:b w:val="0"/>
          <w:sz w:val="72"/>
          <w:szCs w:val="72"/>
        </w:rPr>
      </w:pPr>
      <w:r w:rsidDel="00000000" w:rsidR="00000000" w:rsidRPr="00000000">
        <w:rPr>
          <w:b w:val="0"/>
          <w:sz w:val="24"/>
          <w:szCs w:val="24"/>
          <w:rtl w:val="0"/>
        </w:rPr>
        <w:tab/>
        <w:t xml:space="preserve">O PCA deverá ser apresentado à Secretaria Municipal de Agronegócio e Meio Ambiente - SEMEAGRO, juntamente com o requerimento para solicitação das Licenças Municipais de Instalação e Operação.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hanging="1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EMBASAMENTO LEGAL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PCA deverá descrever compatibilidades e incompatibilidades segundo as Normas Técnicas aplicáveis a cada tipo de empreendimento abrangendo a legislação ambiental em âmbito Municipal, Estadual e Federal, além das exigências contidas neste termo de Referência para elaboração e apresentação do PCA.</w:t>
      </w:r>
    </w:p>
    <w:p w:rsidR="00000000" w:rsidDel="00000000" w:rsidP="00000000" w:rsidRDefault="00000000" w:rsidRPr="00000000" w14:paraId="0000000C">
      <w:pPr>
        <w:spacing w:after="0" w:lineRule="auto"/>
        <w:ind w:firstLine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NORMAS TÉCNICAS APLICÁVEIS: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7229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Projeto, construção e operação de sistemas de tanques sépticos;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8160/99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Sistemas prediais de esgoto sanitário;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10.004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Resíduos Sólidos – Classificação;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10.151/2000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Acústica – Avaliação de ruído em áreas habitadas;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12.807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Resíduos de sistemas de saúde – terminologia;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12.808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Resíduos de sistemas de saúde – classificação;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12.809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Manuseio de resíduos de serviços de saúde;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12.810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Coleta de resíduos de sistemas de saúde;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12.980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Coleta, varrição e acondicionamento de resíduos sólidos urbanos;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13.412/95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Material particulado em suspensão na atmosfera;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13.969/97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Tanques Sépticos – Unidade de tratamento complementar e disposição final dos efluentes líquidos – Projeto, construção e operação;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14.518/2000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Sistemas de ventilação para cozinhas industriais;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14.605/2009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Sistema de drenagem oleosa;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14.724/2002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Norma para apresentação de trabalhos científicos;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NBR 15.645/2008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Execução de obras de esgoto sanitário e drenagem de águas pluviais utilizando tubos e aduelas de concreto;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RESOLUÇÕES CONAMA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1, de 23/01/1986: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 sobre critérios básicas e diretrizes gerais para a avaliação de impacto ambiental. Alterada pela Resolução CONAMA nº 11/1986 (alterado o art. 20), pela Resolução CONAMA nº 5/1987 (acrescentado o inciso XVIII) e pela Resolução CONAMA nº 237/1997 (revogados os art. 30 e 70).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237, de 19/12/1997: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Dispõe sobre a revisão e complementação dos procedimentos e critérios utilizados para licenciamento ambiental.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275, de 25/04/2001: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Estabelece o código de cores para os diferentes tipos de resíduos, a ser adotado na identificação de coletores e transportadores, bem como nas campanhas informativas para a coleta seletiva.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281, de 12/07/2001: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 sobre modelos de publicação de pedidos de licenciamento.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307, de 05/07/2002: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 diretrizes, critérios e procedimentos para a gestão dos resíduos da construção civil. Alterada pela Resolução nº 348/04 (alterado o inciso IV do art. 3º), pela Resolução nº 431/2011 (alterados os incisos II e III do art. 3º) e pela Resolução nº 448/2012 (altera os artigos 2º, 4º, 5º, 6º, 8º, 9º, 10, 11 e revoga os artigos 7º, 12 e 13).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357, de 17/03/2005: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 sobre a classificação dos corpos de água e diretrizes ambientais para o seu enquadramento, bem como estabelece as condições e padrões de lançamento de efluentes, e dá outras providências. Alterada pela Resolução nº 410/2009 e pela Resolução nº 430/2011.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358, de 29/04/2005: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 sobre o tratamento e a disposição final dos resíduos dos serviços de saúde e dá outras providências.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369, de 28/03/2006: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 sobre os casos excepcionais, de utilidade pública, interesse social ou baixo impacto ambiental, que possibilitam a intervenção ou supressão de vegetação em Área de Preservação Permanente - APP.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397, de 07/04/2008: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Altera o inciso II do § 4º e a Tabela X do § 5º, ambos do art. 34 da resolução do Conselho Nacional do Meio Ambiente – CONAMA nº 357, de 2005, que dispõe sobre a classificação dos corpos de água e diretrizes ambientais para o seu enquadramento, bem como estabelece as condições e padrões de lançamentos de efluentes. Alterada pela resolução 410/2009.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430, de 13/05/2011: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Dispõe sobre as condições e padrões de lançamento de efluentes, complementa e altera a Resolução nº 357, de 17 de março de 2005, do Conselho Nacional do Meio Ambiente-CONAMA.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13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RESOLUÇÕES CNRH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54, de 28/11/2005: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 modalidades, diretrizes e critérios gerais para a prática de reuso direto não potável de água.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91, de 05/11/2008: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 sobre procedimentos gerais para o enquadramento dos corpos de água superficiais e subterrâneos.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nº 92, de 05/11/2008: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Estabelece critérios e procedimentos gerais para proteção e conservação das águas subterrâneas no território brasileiro.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13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LEGISLAÇÃO FEDERAL: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nº 12.305, de 2 de agosto de 2010: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 a Política Nacional de Resíduos Sólidos; altera a Lei no 9.605, de 12 de fevereiro de 1998; e dá outras providências.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nº 12.651, de 25 de maio de 2012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Dispõe sobre a proteção da vegetação nativa; altera as Leis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6.938, de 31 de agosto de 1981, 9.393, de 19 de dezembro de 1996, e 11.428, de 22 de dezembro de 2006; revoga as Leis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4.771, de 15 de setembro de 1965, e 7.754, de 14 de abril de 1989, e a Medida Provisória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2.166-67, de 24 de agosto de 2001; e dá outras providências.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nº 9.605, de 12 de fevereiro de 1998: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Dispõe sobre as sanções penais e administrativas derivadas de condutas e atividades lesivas ao meio ambiente, e dá outras providências.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LEGISLAÇÃO ESTADUAL: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Nº 547/1993 - Lei do Meio Ambiente Estadual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“Dispõe sobre a criação do Sistema Estadual de Desenvolvimento Ambiental de Rondônia - SEDAM e seus instrumentos”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nº 7.903/1997 -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Regulamenta a Lei nº 547, de 30 de dezembro de 1993, que dispõe sobre proteção, recuperação, controle, fiscalização e melhoria de qualidade do meio ambiente no Estado de Rondônia.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Complementar 140/2001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Fixa normas, nos termos dos incisos III, VI e VII do caput e do parágrafo único do art. 23 da Constituição Federal, para a cooperação entre a União, os Estados, o Distrito Federal e os Municípios nas ações administrativas decorrentes do exercício da competência comum relativas à proteção das paisagens naturais notáveis, à proteção do meio ambiente, ao combate à poluição em qualquer de suas formas e à preservação das florestas, da fauna e da flora; e altera a Lei no 6.938, de 31 de agosto de 1981.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Complementar Nº 255/2002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Recursos Hídricos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“Institui a Política, cria o Sistema de Gerenciamento e o Fundo de Recursos Hídricos do Estado de Rondônia e dá outras providências.”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nº 1.861/2008 -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Dispõe, define e disciplina a Piscicultura no Estado de Rondônia e dá outras providências.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Resolução Consepa nº 07, de 17 de novembro de 2015: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a tipologia das atividades que causam ou possam causar impactoambiental de âmbito local, nos termos do artigo 9º, inciso XIV, alínea “a”, da LeiComplementar nº 140, de 8 de dezembro de 2011, e dá outras providências.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LEGISLAÇÃO MUNICIPAL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nº 2.940, de 14 de junho de 2021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Dispõe sobre o licenciamento ambiental no município de Jaru, institui taxas municipais pela prestação de serviços ambientais.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nº 254, de 27 de maio de 1994.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 sobre as construções no município de Jaru, Estado de Rondônia e Código de Obras, e dá outras providências.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n° 0953/GP/2006, de 04 de outubro de 2006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Aprova o Plano Diretor do município de Jaru-RO, cria o conselho da Cidade e dá outras providências.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n° 1.827, de 06 de dezembro de 2013.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 sobre o Código Ambiental do Município de Jaru, e dá outras providências.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municipal n° 2.679/GP/2020, de 01 de junho de 2020.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Dispõe sobre a política municipal de Saneamento Básico e dá outras providências.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drenagem, Macrodrenagem e Manejo de águas pluviais – Jaru, RO.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Lei municipal n° 2.592/GP/2019, de 16 de dezembro de 2019 (Redação dada pela Lei n° 2900/2021)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Dispõe sobre o parcelamento do solo urbano do município de Jaru e dá outras providências.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INFORMAÇÕES GERAIS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histórico, objetivos e justificativas do empreendimento;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sucintamente o mercado de trabalho em questão (volume de produção e demanda, estrutura de produção e consumo, etc.);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Apresentar o quadro legal, indicando as legislações aplicáveis à área e ao empreendimento e salientando as limitações do uso impostas pelo Poder Público.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26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a situação junto aos órgãos federais, estaduais e municipais relativas à atividade desenvolvida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hanging="1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Empreendimento: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(razão social, nome fantasia, CNPJ, atividade, endereço, telefone, e-mail da empresa, entre outras informações relevantes sobre o empreendimento).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Empreendedor: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(nome, CPF, endereço, telefone, e-mail do empreendedor, entre outros).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Responsável Técnico: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(nome, CPF, profissão, Conselho de Classe, Número de registro do Conselho de Classe, endereço, telefone, e-mail do Responsável Técnico, entre outros).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CARACTERIZAÇÃO DA ÁREA</w:t>
      </w:r>
    </w:p>
    <w:p w:rsidR="00000000" w:rsidDel="00000000" w:rsidP="00000000" w:rsidRDefault="00000000" w:rsidRPr="00000000" w14:paraId="00000053">
      <w:pPr>
        <w:spacing w:after="0" w:lineRule="auto"/>
        <w:ind w:hanging="1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Localizar o empreendimento em planta onde conste: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Indicar as coordenadas geográficas dos limites da área;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distância entre Áreas de Preservação Permanente, Reservas extrativistas, Reservas indígenas, Unidade de Conservação, Cursos hídricos, escolas, hospitais, aeroportos, entre outros relevantes;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Informar o Zoneamento (área residencial, comercial, industrial, entre outros.) de acordo com o Plano Diretor do Município de Jaru.</w:t>
      </w:r>
    </w:p>
    <w:p w:rsidR="00000000" w:rsidDel="00000000" w:rsidP="00000000" w:rsidRDefault="00000000" w:rsidRPr="00000000" w14:paraId="00000057">
      <w:pPr>
        <w:spacing w:after="0" w:lineRule="auto"/>
        <w:ind w:hanging="17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CARACTERIZAÇÃO DO EMPREENDIMENTO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Infra Estrutura e Apoio Logístico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Descrever detalhadamente e especificar as dimensões das instalações civis, industriais e estações de tratamento, entre outros.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Máquinas e Equipamentos Utilizados: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Discriminar quais equipamentos são utilizados, quantificar, entre outros.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Abastecimento de Insumos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Descrever os insumos utilizados, quantificar, detalhar origem dos insumos, entre outros.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Mão de Obra Direta e Indireta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Descrever, quantificar entre outros.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Produtivo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283.999999999999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Produtos Produzidos (descrever e quantificar).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283.999999999999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Fluxograma de Produção (descrever).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283.999999999999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Detalhamento de todas as etapas do processo produtivo.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283.9999999999999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Detalhamento dos serviços prestados.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Produtos de Limpeza Utilizados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Descrever, quantificar, origem, formas de aproveitamento, grau de toxidez, etc.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Período de Armazenagem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Insumos;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- Produtos fabricados.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Resíduos Sólidos Produzidos: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Detalhar e quantificar os resíduos industriais e domésticos gerados.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Acondicionamento interno e Armazenamento externo: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Detalhar as formas de acondicionamento e armazenamento dos resíduos gerados no empreendimento.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Coleta, Tratamento e Destinação Final: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Devem ser detalhadas as formas e períodos de coleta, formas de tratamento e destinação final dos resíduos gerados no empreendimento, especificando nome das empresas que realizem os serviços mencionados acima, juntamente com o contrato, certificado de coleta e a licença ambiental da empresa responsável.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Resíduos Líquidos produzidos: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Detalhar e quantificar os resíduos líquidos industriais e domésticos gerados.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Tratamento e Destinação Final dos Resíduos Líquidos: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 ser especificada a forma de tratamento, detalhando o sistema utilizado, as dimensões e seu volume, e justificar a escolha do sistema de tratamento. Também deverá ser detalhado a destinação final dos efluentes, após passar pelo tratamento proposto.</w:t>
      </w:r>
    </w:p>
    <w:p w:rsidR="00000000" w:rsidDel="00000000" w:rsidP="00000000" w:rsidRDefault="00000000" w:rsidRPr="00000000" w14:paraId="0000006C">
      <w:pPr>
        <w:spacing w:after="0" w:lineRule="auto"/>
        <w:ind w:hanging="17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DIAGNÓSTICO AMBIENTAL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Meio Físico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Caracterização do Meio físico em que o empreendimento está inserido, através de emissões de ruídos, material particulado, entre outros. Assim como, apresentação de formas de mitigação para os impactos gerados.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Ruídos e Vibrações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Especificar horário de funcionamento dos equipamentos,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medidas desencadeadas para atenuar os efeitos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caracterização da intensidade do ruído, entre outros. (Caso o empreendimento gerar ruídos significantes, apresentar laudo sonoro, juntamente com a ART do profissional responsável.).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Uso da Água: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 corpo receptor mais próximo ao empreendimento, se o mesmo abastece a empresa a ser licenciada, se é utilizado como corpo receptor dos efluentes gerados. Descrever a origem da água utilizada no empreendimento, assim como, quantificar o volume utilizado.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Qualidade do ar: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os equipamentos que realizam a queima de combustível, caso existir (se usa caldeira, forno, óleo queimado, material lenhoso, entre outros).  Especificar detalhadamente outras fontes de emissões atmosféricas. Descrever as medidas mitigadoras para os impactos gerados.</w:t>
      </w:r>
    </w:p>
    <w:p w:rsidR="00000000" w:rsidDel="00000000" w:rsidP="00000000" w:rsidRDefault="00000000" w:rsidRPr="00000000" w14:paraId="00000073">
      <w:pPr>
        <w:spacing w:after="0" w:lineRule="auto"/>
        <w:ind w:hanging="17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PROGNÓSTICO E AVALIAÇÃO DOS IMPACTOS AMBIENTAIS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Descrever a previsão e a avaliação sistemática de cada um dos prováveis impactos diretos e indiretos gerados em cada fase do empreendimento, nos meios: físico, biótico e socioeconômico e cultural discorrendo sobre a reversibilidade, extensão, grau de importância, tipo de impacto, reversibilidade, magnitude, entre outros.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8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Programa de Monitoramento Ambiental: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os planos e/ou programas de compensação, recuperação e/ou monitoramento ambiental a ser promovida pelo empreendimento.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IDENTIFICAÇÃO, AVALIAÇÃO E GERENCIAMENTO DE RISCOS.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Metodologia de Análise: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os tipos de riscos de acidentes ambientais passíveis de ocorrerem, utilizando métodos e técnicas qualitativas e quantitativas. Descrever os procedimentos de segurança adotados para depósitos, instalações civis e industriais, máquinas e equipamentos e responsabilidades;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Hipóteses de Acidentes Ambientais: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os possíveis acidentes ambientais que podem ocorrer no empreendimento, histórico de acidentes ocorridos na empresa, entre outros.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das Consequências: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Descrever conforme os fatores ambientais apresentados.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Análise de Vulnerabilidade: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Avaliação qualitativa e quantitativa dos efeitos das hipóteses acidentais, apresentar a intensidade de riscos decorrentes de explosões, vazamentos e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Gerenciamento de Riscos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e Programa de Monitoramento de Riscos: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os tipos de riscos que podem ocorrer, seus efeitos e causas, categoria de risco, medidas mitigadoras, responsabilidade, meios utilizados, mapas de riscos e periodicidade.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ind w:hanging="17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CONCLUSÕES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Apresentar as conclusões do PLANO DE CONTROLE AMBIENTAL (PCA), com base nos resultados obtidos na avaliação dos impactos ambientais devendo esclarecer, sob o aspecto ambiental, a viabilidade ou não do empreendimento.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REFERÊNCIAS BIBLIOGRÁFICAS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3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Apresentar a bibliografia citada, de acordo com a Norma vigente.</w:t>
      </w:r>
    </w:p>
    <w:p w:rsidR="00000000" w:rsidDel="00000000" w:rsidP="00000000" w:rsidRDefault="00000000" w:rsidRPr="00000000" w14:paraId="00000089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OBS: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Plano de Controle Ambiental deverá conter em todas as páginas, rubricas do responsável técnico, e na última folha, deverá conter assinatura do responsável pelo empreendimento, assinatura e carimbo do responsável técnico.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701" w:left="1134" w:right="1133" w:header="142" w:footer="1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ourier New"/>
  <w:font w:name="Teko">
    <w:embedRegular w:fontKey="{00000000-0000-0000-0000-000000000000}" r:id="rId1" w:subsetted="0"/>
    <w:embedBold w:fontKey="{00000000-0000-0000-0000-000000000000}" r:id="rId2" w:subsetted="0"/>
  </w:font>
  <w:font w:name="Liberation Sans"/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spacing w:after="0" w:before="0" w:line="240" w:lineRule="auto"/>
      <w:ind w:hanging="170"/>
      <w:rPr>
        <w:rFonts w:ascii="Teko" w:cs="Teko" w:eastAsia="Teko" w:hAnsi="Teko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b2b2b2" w:val="clear"/>
      <w:tabs>
        <w:tab w:val="center" w:leader="none" w:pos="4252"/>
        <w:tab w:val="right" w:leader="none" w:pos="8504"/>
      </w:tabs>
      <w:spacing w:after="0" w:before="0" w:line="240" w:lineRule="auto"/>
      <w:ind w:left="-170" w:right="-11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Rua: Otaviano Neto, 4476 – Setor 02 – Jaru/RO</w:t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b2b2b2" w:val="clear"/>
      <w:tabs>
        <w:tab w:val="center" w:leader="none" w:pos="4252"/>
        <w:tab w:val="right" w:leader="none" w:pos="8504"/>
      </w:tabs>
      <w:spacing w:after="0" w:before="0" w:line="240" w:lineRule="auto"/>
      <w:ind w:left="-170" w:right="-11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CEP: 76.890-000 – Contato: (69) 3521-2923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" w:right="-11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76923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6120455" cy="762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455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280" w:before="280" w:line="360" w:lineRule="auto"/>
        <w:ind w:left="-170" w:right="-113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ind w:left="0" w:right="0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uppressAutoHyphens w:val="1"/>
      <w:spacing w:after="280" w:before="280" w:line="360" w:lineRule="auto"/>
      <w:ind w:left="-170" w:right="-113"/>
    </w:pPr>
    <w:rPr>
      <w:sz w:val="24"/>
      <w:szCs w:val="24"/>
      <w:lang w:eastAsia="en-US"/>
    </w:rPr>
  </w:style>
  <w:style w:type="paragraph" w:styleId="Ttulo1">
    <w:name w:val="heading 1"/>
    <w:basedOn w:val="Normal"/>
    <w:link w:val="Ttulo1Char"/>
    <w:uiPriority w:val="9"/>
    <w:qFormat w:val="1"/>
    <w:rsid w:val="004214B9"/>
    <w:pPr>
      <w:suppressAutoHyphens w:val="0"/>
      <w:spacing w:after="100" w:afterAutospacing="1" w:before="100" w:beforeAutospacing="1" w:line="240" w:lineRule="auto"/>
      <w:ind w:left="0" w:right="0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qFormat w:val="1"/>
  </w:style>
  <w:style w:type="character" w:styleId="RodapChar" w:customStyle="1">
    <w:name w:val="Rodapé Char"/>
    <w:basedOn w:val="Fontepargpadro"/>
    <w:qFormat w:val="1"/>
  </w:style>
  <w:style w:type="character" w:styleId="TextodebaloChar" w:customStyle="1">
    <w:name w:val="Texto de balão Char"/>
    <w:qFormat w:val="1"/>
    <w:rPr>
      <w:rFonts w:ascii="Segoe UI" w:cs="Segoe UI" w:hAnsi="Segoe UI"/>
      <w:sz w:val="18"/>
      <w:szCs w:val="18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UnresolvedMention" w:customStyle="1">
    <w:name w:val="Unresolved Mention"/>
    <w:qFormat w:val="1"/>
    <w:rPr>
      <w:color w:val="605e5c"/>
      <w:highlight w:val="lightGray"/>
    </w:r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before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before="0" w:line="240" w:lineRule="auto"/>
    </w:pPr>
  </w:style>
  <w:style w:type="paragraph" w:styleId="Textodebalo">
    <w:name w:val="Balloon Text"/>
    <w:basedOn w:val="Normal"/>
    <w:qFormat w:val="1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paragraph" w:styleId="Contedodatabela" w:customStyle="1">
    <w:name w:val="Conteúdo da tabela"/>
    <w:basedOn w:val="Normal"/>
    <w:qFormat w:val="1"/>
    <w:pPr>
      <w:suppressLineNumbers w:val="1"/>
    </w:pPr>
  </w:style>
  <w:style w:type="table" w:styleId="Tabelacomgrade">
    <w:name w:val="Table Grid"/>
    <w:basedOn w:val="Tabelanormal"/>
    <w:uiPriority w:val="39"/>
    <w:rsid w:val="00FA175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deGrade4">
    <w:name w:val="Grid Table 4"/>
    <w:basedOn w:val="Tabelanormal"/>
    <w:uiPriority w:val="49"/>
    <w:rsid w:val="00FA175C"/>
    <w:tblPr>
      <w:tblStyleRowBandSize w:val="1"/>
      <w:tblStyleColBandSize w:val="1"/>
      <w:tblBorders>
        <w:top w:color="666666" w:space="0" w:sz="4" w:val="single"/>
        <w:left w:color="666666" w:space="0" w:sz="4" w:val="single"/>
        <w:bottom w:color="666666" w:space="0" w:sz="4" w:val="single"/>
        <w:right w:color="666666" w:space="0" w:sz="4" w:val="single"/>
        <w:insideH w:color="666666" w:space="0" w:sz="4" w:val="single"/>
        <w:insideV w:color="666666" w:space="0" w:sz="4" w:val="single"/>
      </w:tblBorders>
    </w:tblPr>
    <w:tblStylePr w:type="firstRow">
      <w:rPr>
        <w:b w:val="1"/>
        <w:bCs w:val="1"/>
        <w:color w:val="ffffff"/>
      </w:rPr>
      <w:tblPr/>
      <w:tcPr>
        <w:tc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rPr>
        <w:b w:val="1"/>
        <w:bCs w:val="1"/>
      </w:rPr>
      <w:tblPr/>
      <w:tcPr>
        <w:tcBorders>
          <w:top w:color="000000" w:space="0" w:sz="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val="clear"/>
      </w:tcPr>
    </w:tblStylePr>
    <w:tblStylePr w:type="band1Horz">
      <w:tblPr/>
      <w:tcPr>
        <w:shd w:color="auto" w:fill="cccccc" w:val="clear"/>
      </w:tcPr>
    </w:tblStylePr>
  </w:style>
  <w:style w:type="paragraph" w:styleId="NormalWeb">
    <w:name w:val="Normal (Web)"/>
    <w:basedOn w:val="Normal"/>
    <w:uiPriority w:val="99"/>
    <w:unhideWhenUsed w:val="1"/>
    <w:rsid w:val="00C67569"/>
    <w:pPr>
      <w:suppressAutoHyphens w:val="0"/>
      <w:spacing w:after="100" w:afterAutospacing="1" w:before="100" w:beforeAutospacing="1" w:line="240" w:lineRule="auto"/>
      <w:ind w:left="0" w:right="0"/>
    </w:pPr>
    <w:rPr>
      <w:rFonts w:ascii="Times New Roman" w:cs="Times New Roman" w:eastAsia="Times New Roman" w:hAnsi="Times New Roman"/>
      <w:lang w:eastAsia="pt-BR"/>
    </w:rPr>
  </w:style>
  <w:style w:type="character" w:styleId="Ttulo1Char" w:customStyle="1">
    <w:name w:val="Título 1 Char"/>
    <w:link w:val="Ttulo1"/>
    <w:uiPriority w:val="9"/>
    <w:rsid w:val="004214B9"/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character" w:styleId="apple-converted-space" w:customStyle="1">
    <w:name w:val="apple-converted-space"/>
    <w:rsid w:val="004214B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eko-regular.ttf"/><Relationship Id="rId2" Type="http://schemas.openxmlformats.org/officeDocument/2006/relationships/font" Target="fonts/Teko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3ojNveQpE4X33jWxtUTJIDR3dQ==">CgMxLjA4AHIhMTRPMGUtd0RIaHhmMUtFMEw1Nk9aNTFDbXNsVGtxQ3Vn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2022-08-24T14:54:00Z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